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CHARTER DE PROYECTO</w:t>
      </w:r>
    </w:p>
    <w:p>
      <w:pPr>
        <w:spacing w:after="300"/>
      </w:pPr>
      <w:r>
        <w:t xml:space="preserve">App de Proveedores — CILES S.A.S.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2A2E38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Proyecto</w:t>
            </w:r>
          </w:p>
        </w:tc>
        <w:tc>
          <w:tcPr>
            <w:tcW w:type="dxa" w:w="6360"/>
          </w:tcPr>
          <w:p>
            <w:r>
              <w:rPr>
                <w:color w:val="1A1A1A"/>
                <w:sz w:val="20"/>
                <w:szCs w:val="20"/>
              </w:rPr>
              <w:t xml:space="preserve">App de Proveedores</w:t>
            </w:r>
          </w:p>
        </w:tc>
      </w:tr>
      <w:tr>
        <w:tc>
          <w:tcPr>
            <w:tcW w:type="dxa" w:w="3000"/>
            <w:shd w:fill="2A2E38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Fase</w:t>
            </w:r>
          </w:p>
        </w:tc>
        <w:tc>
          <w:tcPr>
            <w:tcW w:type="dxa" w:w="6360"/>
          </w:tcPr>
          <w:p>
            <w:r>
              <w:rPr>
                <w:color w:val="1A1A1A"/>
                <w:sz w:val="20"/>
                <w:szCs w:val="20"/>
              </w:rPr>
              <w:t xml:space="preserve">Fase 0 — Fundación del proyecto</w:t>
            </w:r>
          </w:p>
        </w:tc>
      </w:tr>
      <w:tr>
        <w:tc>
          <w:tcPr>
            <w:tcW w:type="dxa" w:w="3000"/>
            <w:shd w:fill="2A2E38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Fecha de elaboración</w:t>
            </w:r>
          </w:p>
        </w:tc>
        <w:tc>
          <w:tcPr>
            <w:tcW w:type="dxa" w:w="6360"/>
          </w:tcPr>
          <w:p>
            <w:r>
              <w:rPr>
                <w:color w:val="1A1A1A"/>
                <w:sz w:val="20"/>
                <w:szCs w:val="20"/>
              </w:rPr>
              <w:t xml:space="preserve">[completar — 3 al 7 de agosto 2026]</w:t>
            </w:r>
          </w:p>
        </w:tc>
      </w:tr>
      <w:tr>
        <w:tc>
          <w:tcPr>
            <w:tcW w:type="dxa" w:w="3000"/>
            <w:shd w:fill="2A2E38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Sponsor</w:t>
            </w:r>
          </w:p>
        </w:tc>
        <w:tc>
          <w:tcPr>
            <w:tcW w:type="dxa" w:w="6360"/>
          </w:tcPr>
          <w:p>
            <w:r>
              <w:rPr>
                <w:color w:val="1A1A1A"/>
                <w:sz w:val="20"/>
                <w:szCs w:val="20"/>
              </w:rPr>
              <w:t xml:space="preserve">[completar]</w:t>
            </w:r>
          </w:p>
        </w:tc>
      </w:tr>
      <w:tr>
        <w:tc>
          <w:tcPr>
            <w:tcW w:type="dxa" w:w="3000"/>
            <w:shd w:fill="2A2E38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6360"/>
          </w:tcPr>
          <w:p>
            <w:r>
              <w:rPr>
                <w:color w:val="1A1A1A"/>
                <w:sz w:val="20"/>
                <w:szCs w:val="20"/>
              </w:rPr>
              <w:t xml:space="preserve">Dirección de Producción</w:t>
            </w:r>
          </w:p>
        </w:tc>
      </w:tr>
    </w:tbl>
    <w:p>
      <w:pPr>
        <w:spacing w:after="200"/>
      </w:pPr>
    </w:p>
    <w:p>
      <w:pPr>
        <w:pStyle w:val="Heading1"/>
      </w:pPr>
      <w:r>
        <w:t xml:space="preserve">1. Problema cuantificado</w:t>
      </w:r>
    </w:p>
    <w:p>
      <w:r>
        <w:t xml:space="preserve">Baseline conocido: 21.8% de variación de peso entre muestras (proceso de inyección, sin control estadístico formal).</w:t>
      </w:r>
    </w:p>
    <w:p>
      <w:r>
        <w:t xml:space="preserve">[completar: alcance del problema — referencias afectadas, frecuencia, impacto operativo actual]</w:t>
      </w:r>
    </w:p>
    <w:p>
      <w:pPr>
        <w:pStyle w:val="Heading1"/>
      </w:pPr>
      <w:r>
        <w:t xml:space="preserve">2. Objetivo numérico de reducción</w:t>
      </w:r>
    </w:p>
    <w:p>
      <w:r>
        <w:t xml:space="preserve">[completar: meta específica — ej. reducir variación de 21.8% a X% para [fecha]]</w:t>
      </w:r>
    </w:p>
    <w:p>
      <w:pPr>
        <w:pStyle w:val="Heading1"/>
      </w:pPr>
      <w:r>
        <w:t xml:space="preserve">3. Caso de negocio</w:t>
      </w:r>
    </w:p>
    <w:p>
      <w:r>
        <w:t xml:space="preserve">[completar: costo estimado actual del scrap sin control — mensual / anual]</w:t>
      </w:r>
    </w:p>
    <w:p>
      <w:r>
        <w:t xml:space="preserve">[completar: ahorro proyectado al alcanzar el objetivo]</w:t>
      </w:r>
    </w:p>
    <w:p>
      <w:pPr>
        <w:pStyle w:val="Heading1"/>
      </w:pPr>
      <w:r>
        <w:t xml:space="preserve">4. Alcance formal</w:t>
      </w:r>
    </w:p>
    <w:p>
      <w:r>
        <w:t xml:space="preserve">Incluye: los 6 proveedores de inyección (Plastiverso, Colplasticos, Luis/Pubriplas, Alumcor, D.Mejía, Redplas) + 1 proveedor de ensamble.</w:t>
      </w:r>
    </w:p>
    <w:p>
      <w:r>
        <w:t xml:space="preserve">[completar: qué queda explícitamente fuera de alcance en esta fase]</w:t>
      </w:r>
    </w:p>
    <w:p>
      <w:pPr>
        <w:pStyle w:val="Heading1"/>
      </w:pPr>
      <w:r>
        <w:t xml:space="preserve">5. Riesgos identificados</w:t>
      </w:r>
    </w:p>
    <w:p>
      <w:r>
        <w:t xml:space="preserve">[completar — ver también sección "Riesgos" de la tarjeta del proyecto en el dashboard ejecutivo]</w:t>
      </w:r>
    </w:p>
    <w:p>
      <w:pPr>
        <w:pStyle w:val="Heading1"/>
      </w:pPr>
      <w:r>
        <w:t xml:space="preserve">6. Aprobación</w:t>
      </w:r>
    </w:p>
    <w:p>
      <w:r>
        <w:t xml:space="preserve">Sponsor: _______________________     Fecha: 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2026-07-28T23:06:25.877Z</dcterms:created>
  <dcterms:modified xsi:type="dcterms:W3CDTF">2026-07-28T23:06:25.894Z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